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98" w:type="dxa"/>
        <w:jc w:val="center"/>
        <w:tblLook w:val="04A0" w:firstRow="1" w:lastRow="0" w:firstColumn="1" w:lastColumn="0" w:noHBand="0" w:noVBand="1"/>
      </w:tblPr>
      <w:tblGrid>
        <w:gridCol w:w="4181"/>
        <w:gridCol w:w="5717"/>
      </w:tblGrid>
      <w:tr w:rsidR="00B30595" w:rsidRPr="00B30595" w:rsidTr="00B7216C">
        <w:trPr>
          <w:jc w:val="center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B30595" w:rsidRPr="00B30595" w:rsidRDefault="00B30595" w:rsidP="00B30595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B30595">
              <w:rPr>
                <w:rFonts w:eastAsia="Calibri" w:cs="Times New Roman"/>
                <w:sz w:val="26"/>
                <w:szCs w:val="26"/>
              </w:rPr>
              <w:t>SỞ GIÁO DỤC VÀ ĐÀO TẠO</w:t>
            </w:r>
          </w:p>
          <w:p w:rsidR="00B30595" w:rsidRPr="00B30595" w:rsidRDefault="00B30595" w:rsidP="00B30595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B30595">
              <w:rPr>
                <w:rFonts w:eastAsia="Calibri" w:cs="Times New Roman"/>
                <w:sz w:val="26"/>
                <w:szCs w:val="26"/>
              </w:rPr>
              <w:t>THÀNH PHỐ HỒ CHÍ MINH</w:t>
            </w:r>
          </w:p>
          <w:p w:rsidR="00B30595" w:rsidRPr="00B30595" w:rsidRDefault="00B30595" w:rsidP="00B30595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B30595">
              <w:rPr>
                <w:rFonts w:eastAsia="Calibri" w:cs="Times New Roman"/>
                <w:sz w:val="26"/>
                <w:szCs w:val="26"/>
              </w:rPr>
              <w:t>UBND PHƯỜNG BÌNH DƯƠNG</w:t>
            </w:r>
          </w:p>
          <w:p w:rsidR="00B30595" w:rsidRPr="00B30595" w:rsidRDefault="00B30595" w:rsidP="00B30595">
            <w:pPr>
              <w:spacing w:line="276" w:lineRule="auto"/>
              <w:jc w:val="center"/>
              <w:rPr>
                <w:rFonts w:eastAsia="Calibri" w:cs="Times New Roman"/>
                <w:b/>
                <w:spacing w:val="-8"/>
                <w:sz w:val="28"/>
                <w:szCs w:val="28"/>
              </w:rPr>
            </w:pPr>
            <w:r w:rsidRPr="00B30595">
              <w:rPr>
                <w:rFonts w:eastAsia="Calibri" w:cs="Times New Roman"/>
                <w:b/>
                <w:spacing w:val="-8"/>
                <w:sz w:val="28"/>
                <w:szCs w:val="28"/>
              </w:rPr>
              <w:t>TRƯỜNG THCS HÒA PHÚ</w:t>
            </w:r>
          </w:p>
        </w:tc>
        <w:tc>
          <w:tcPr>
            <w:tcW w:w="5717" w:type="dxa"/>
            <w:tcBorders>
              <w:top w:val="nil"/>
              <w:left w:val="nil"/>
              <w:bottom w:val="nil"/>
              <w:right w:val="nil"/>
            </w:tcBorders>
          </w:tcPr>
          <w:p w:rsidR="00B30595" w:rsidRPr="00B30595" w:rsidRDefault="00B30595" w:rsidP="00B30595">
            <w:pPr>
              <w:spacing w:line="276" w:lineRule="auto"/>
              <w:ind w:right="-238"/>
              <w:rPr>
                <w:rFonts w:eastAsia="Calibri" w:cs="Times New Roman"/>
                <w:b/>
                <w:spacing w:val="-8"/>
                <w:sz w:val="28"/>
                <w:szCs w:val="28"/>
              </w:rPr>
            </w:pPr>
            <w:r w:rsidRPr="00B30595">
              <w:rPr>
                <w:rFonts w:eastAsia="Calibri" w:cs="Times New Roman"/>
                <w:b/>
                <w:spacing w:val="-8"/>
                <w:sz w:val="28"/>
                <w:szCs w:val="28"/>
              </w:rPr>
              <w:t>CỘNG HÒA XÃ HỘI CHỦ NGHĨA VIỆT NAM</w:t>
            </w:r>
          </w:p>
          <w:p w:rsidR="00B30595" w:rsidRPr="00B30595" w:rsidRDefault="00B30595" w:rsidP="00B30595">
            <w:pPr>
              <w:spacing w:line="276" w:lineRule="auto"/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 w:rsidRPr="00B30595">
              <w:rPr>
                <w:rFonts w:eastAsia="Calibri" w:cs="Times New Roman"/>
                <w:b/>
                <w:noProof/>
                <w:spacing w:val="-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A121B" wp14:editId="15258CB9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275590</wp:posOffset>
                      </wp:positionV>
                      <wp:extent cx="20764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16E36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5pt,21.7pt" to="223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" strokecolor="windowText"/>
                  </w:pict>
                </mc:Fallback>
              </mc:AlternateContent>
            </w:r>
            <w:proofErr w:type="spellStart"/>
            <w:r w:rsidRPr="00B30595">
              <w:rPr>
                <w:rFonts w:eastAsia="Calibri" w:cs="Times New Roman"/>
                <w:b/>
                <w:spacing w:val="-8"/>
                <w:sz w:val="28"/>
                <w:szCs w:val="28"/>
              </w:rPr>
              <w:t>Độc</w:t>
            </w:r>
            <w:proofErr w:type="spellEnd"/>
            <w:r w:rsidRPr="00B30595">
              <w:rPr>
                <w:rFonts w:eastAsia="Calibri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B30595">
              <w:rPr>
                <w:rFonts w:eastAsia="Calibri" w:cs="Times New Roman"/>
                <w:b/>
                <w:spacing w:val="-8"/>
                <w:sz w:val="28"/>
                <w:szCs w:val="28"/>
              </w:rPr>
              <w:t>lập</w:t>
            </w:r>
            <w:proofErr w:type="spellEnd"/>
            <w:r w:rsidRPr="00B30595">
              <w:rPr>
                <w:rFonts w:eastAsia="Calibri" w:cs="Times New Roman"/>
                <w:b/>
                <w:spacing w:val="-8"/>
                <w:sz w:val="28"/>
                <w:szCs w:val="28"/>
              </w:rPr>
              <w:t xml:space="preserve"> – </w:t>
            </w:r>
            <w:proofErr w:type="spellStart"/>
            <w:r w:rsidRPr="00B30595">
              <w:rPr>
                <w:rFonts w:eastAsia="Calibri" w:cs="Times New Roman"/>
                <w:b/>
                <w:spacing w:val="-8"/>
                <w:sz w:val="28"/>
                <w:szCs w:val="28"/>
              </w:rPr>
              <w:t>Tự</w:t>
            </w:r>
            <w:proofErr w:type="spellEnd"/>
            <w:r w:rsidRPr="00B30595">
              <w:rPr>
                <w:rFonts w:eastAsia="Calibri" w:cs="Times New Roman"/>
                <w:b/>
                <w:spacing w:val="-8"/>
                <w:sz w:val="28"/>
                <w:szCs w:val="28"/>
              </w:rPr>
              <w:t xml:space="preserve"> do – </w:t>
            </w:r>
            <w:proofErr w:type="spellStart"/>
            <w:r w:rsidRPr="00B30595">
              <w:rPr>
                <w:rFonts w:eastAsia="Calibri" w:cs="Times New Roman"/>
                <w:b/>
                <w:spacing w:val="-8"/>
                <w:sz w:val="28"/>
                <w:szCs w:val="28"/>
              </w:rPr>
              <w:t>Hạnh</w:t>
            </w:r>
            <w:proofErr w:type="spellEnd"/>
            <w:r w:rsidRPr="00B30595">
              <w:rPr>
                <w:rFonts w:eastAsia="Calibri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B30595">
              <w:rPr>
                <w:rFonts w:eastAsia="Calibri" w:cs="Times New Roman"/>
                <w:b/>
                <w:spacing w:val="-8"/>
                <w:sz w:val="28"/>
                <w:szCs w:val="28"/>
              </w:rPr>
              <w:t>phúc</w:t>
            </w:r>
            <w:proofErr w:type="spellEnd"/>
          </w:p>
        </w:tc>
      </w:tr>
      <w:tr w:rsidR="00B30595" w:rsidRPr="00B30595" w:rsidTr="00B7216C">
        <w:trPr>
          <w:jc w:val="center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B30595" w:rsidRPr="00B30595" w:rsidRDefault="00B30595" w:rsidP="00B30595">
            <w:pPr>
              <w:spacing w:before="240" w:line="276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proofErr w:type="spellStart"/>
            <w:r w:rsidRPr="00B30595">
              <w:rPr>
                <w:rFonts w:eastAsia="Calibri" w:cs="Times New Roman"/>
                <w:spacing w:val="-8"/>
                <w:sz w:val="26"/>
                <w:szCs w:val="26"/>
              </w:rPr>
              <w:t>Số</w:t>
            </w:r>
            <w:proofErr w:type="spellEnd"/>
            <w:r w:rsidRPr="00B30595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spacing w:val="-8"/>
                <w:sz w:val="26"/>
                <w:szCs w:val="26"/>
              </w:rPr>
              <w:t xml:space="preserve">    </w:t>
            </w:r>
            <w:r w:rsidR="00A062FA">
              <w:rPr>
                <w:rFonts w:eastAsia="Calibri" w:cs="Times New Roman"/>
                <w:spacing w:val="-8"/>
                <w:sz w:val="26"/>
                <w:szCs w:val="26"/>
              </w:rPr>
              <w:t xml:space="preserve">     </w:t>
            </w:r>
            <w:r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r w:rsidRPr="00B30595">
              <w:rPr>
                <w:rFonts w:eastAsia="Calibri" w:cs="Times New Roman"/>
                <w:spacing w:val="-8"/>
                <w:sz w:val="26"/>
                <w:szCs w:val="26"/>
              </w:rPr>
              <w:t xml:space="preserve">/KH-THCS </w:t>
            </w:r>
          </w:p>
        </w:tc>
        <w:tc>
          <w:tcPr>
            <w:tcW w:w="5717" w:type="dxa"/>
            <w:tcBorders>
              <w:top w:val="nil"/>
              <w:left w:val="nil"/>
              <w:bottom w:val="nil"/>
              <w:right w:val="nil"/>
            </w:tcBorders>
          </w:tcPr>
          <w:p w:rsidR="00B30595" w:rsidRPr="00B30595" w:rsidRDefault="00B30595" w:rsidP="00B30595">
            <w:pPr>
              <w:spacing w:before="240" w:line="276" w:lineRule="auto"/>
              <w:jc w:val="right"/>
              <w:rPr>
                <w:rFonts w:eastAsia="Calibri" w:cs="Times New Roman"/>
                <w:i/>
                <w:spacing w:val="-8"/>
                <w:sz w:val="26"/>
                <w:szCs w:val="26"/>
              </w:rPr>
            </w:pPr>
            <w:r w:rsidRPr="00B30595">
              <w:rPr>
                <w:rFonts w:eastAsia="Calibri" w:cs="Times New Roman"/>
                <w:i/>
                <w:spacing w:val="-8"/>
                <w:sz w:val="26"/>
                <w:szCs w:val="26"/>
              </w:rPr>
              <w:t xml:space="preserve">            </w:t>
            </w:r>
            <w:proofErr w:type="spellStart"/>
            <w:r w:rsidRPr="00B30595">
              <w:rPr>
                <w:rFonts w:eastAsia="Calibri" w:cs="Times New Roman"/>
                <w:i/>
                <w:spacing w:val="-8"/>
                <w:sz w:val="26"/>
                <w:szCs w:val="26"/>
              </w:rPr>
              <w:t>Bình</w:t>
            </w:r>
            <w:proofErr w:type="spellEnd"/>
            <w:r w:rsidRPr="00B30595">
              <w:rPr>
                <w:rFonts w:eastAsia="Calibri" w:cs="Times New Roman"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B30595">
              <w:rPr>
                <w:rFonts w:eastAsia="Calibri" w:cs="Times New Roman"/>
                <w:i/>
                <w:spacing w:val="-8"/>
                <w:sz w:val="26"/>
                <w:szCs w:val="26"/>
              </w:rPr>
              <w:t>Dương</w:t>
            </w:r>
            <w:proofErr w:type="spellEnd"/>
            <w:r w:rsidRPr="00B30595">
              <w:rPr>
                <w:rFonts w:eastAsia="Calibri" w:cs="Times New Roman"/>
                <w:i/>
                <w:spacing w:val="-8"/>
                <w:sz w:val="26"/>
                <w:szCs w:val="26"/>
              </w:rPr>
              <w:t xml:space="preserve">, </w:t>
            </w:r>
            <w:proofErr w:type="spellStart"/>
            <w:r w:rsidRPr="00B30595">
              <w:rPr>
                <w:rFonts w:eastAsia="Calibri" w:cs="Times New Roman"/>
                <w:i/>
                <w:spacing w:val="-8"/>
                <w:sz w:val="26"/>
                <w:szCs w:val="26"/>
              </w:rPr>
              <w:t>ngày</w:t>
            </w:r>
            <w:proofErr w:type="spellEnd"/>
            <w:r w:rsidRPr="00B30595">
              <w:rPr>
                <w:rFonts w:eastAsia="Calibri" w:cs="Times New Roman"/>
                <w:i/>
                <w:spacing w:val="-8"/>
                <w:sz w:val="26"/>
                <w:szCs w:val="26"/>
              </w:rPr>
              <w:t xml:space="preserve"> </w:t>
            </w:r>
            <w:r w:rsidR="0070571F">
              <w:rPr>
                <w:rFonts w:eastAsia="Calibri" w:cs="Times New Roman"/>
                <w:i/>
                <w:spacing w:val="-8"/>
                <w:sz w:val="26"/>
                <w:szCs w:val="26"/>
              </w:rPr>
              <w:t>1</w:t>
            </w:r>
            <w:r>
              <w:rPr>
                <w:rFonts w:eastAsia="Calibri" w:cs="Times New Roman"/>
                <w:i/>
                <w:spacing w:val="-8"/>
                <w:sz w:val="26"/>
                <w:szCs w:val="26"/>
              </w:rPr>
              <w:t xml:space="preserve">2 </w:t>
            </w:r>
            <w:proofErr w:type="spellStart"/>
            <w:r>
              <w:rPr>
                <w:rFonts w:eastAsia="Calibri" w:cs="Times New Roman"/>
                <w:i/>
                <w:spacing w:val="-8"/>
                <w:sz w:val="26"/>
                <w:szCs w:val="26"/>
              </w:rPr>
              <w:t>tháng</w:t>
            </w:r>
            <w:proofErr w:type="spellEnd"/>
            <w:r>
              <w:rPr>
                <w:rFonts w:eastAsia="Calibri" w:cs="Times New Roman"/>
                <w:i/>
                <w:spacing w:val="-8"/>
                <w:sz w:val="26"/>
                <w:szCs w:val="26"/>
              </w:rPr>
              <w:t xml:space="preserve"> 4</w:t>
            </w:r>
            <w:r w:rsidRPr="00B30595">
              <w:rPr>
                <w:rFonts w:eastAsia="Calibri" w:cs="Times New Roman"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B30595">
              <w:rPr>
                <w:rFonts w:eastAsia="Calibri" w:cs="Times New Roman"/>
                <w:i/>
                <w:spacing w:val="-8"/>
                <w:sz w:val="26"/>
                <w:szCs w:val="26"/>
              </w:rPr>
              <w:t>năm</w:t>
            </w:r>
            <w:proofErr w:type="spellEnd"/>
            <w:r w:rsidRPr="00B30595">
              <w:rPr>
                <w:rFonts w:eastAsia="Calibri" w:cs="Times New Roman"/>
                <w:i/>
                <w:spacing w:val="-8"/>
                <w:sz w:val="26"/>
                <w:szCs w:val="26"/>
              </w:rPr>
              <w:t xml:space="preserve"> 202</w:t>
            </w:r>
            <w:r>
              <w:rPr>
                <w:rFonts w:eastAsia="Calibri" w:cs="Times New Roman"/>
                <w:i/>
                <w:spacing w:val="-8"/>
                <w:sz w:val="26"/>
                <w:szCs w:val="26"/>
              </w:rPr>
              <w:t>6</w:t>
            </w:r>
          </w:p>
        </w:tc>
      </w:tr>
    </w:tbl>
    <w:p w:rsidR="00B30595" w:rsidRDefault="00B30595" w:rsidP="00B2196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30595" w:rsidRDefault="00B30595" w:rsidP="00B2196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21962" w:rsidRPr="00A062FA" w:rsidRDefault="00B21962" w:rsidP="00B305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062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KẾ HOẠCH CẢI TIẾN CHẤT LƯỢNG GIÁO DỤC</w:t>
      </w:r>
    </w:p>
    <w:p w:rsidR="00B21962" w:rsidRPr="00A062FA" w:rsidRDefault="00B30595" w:rsidP="00B30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2FA">
        <w:rPr>
          <w:rFonts w:ascii="Times New Roman" w:eastAsia="Times New Roman" w:hAnsi="Times New Roman" w:cs="Times New Roman"/>
          <w:b/>
          <w:sz w:val="28"/>
          <w:szCs w:val="28"/>
        </w:rPr>
        <w:t>SAU TỰ ĐÁNH GIÁ</w:t>
      </w:r>
    </w:p>
    <w:p w:rsidR="00B21962" w:rsidRPr="00B21962" w:rsidRDefault="00B21962" w:rsidP="00B2196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đích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B2196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Căn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cứ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xây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dựng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hoạch</w:t>
      </w:r>
      <w:proofErr w:type="spellEnd"/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18/2018/TT-BGDĐT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22/2024/TT-BGDĐT.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bookmarkEnd w:id="0"/>
    <w:p w:rsidR="00B21962" w:rsidRPr="00B21962" w:rsidRDefault="00B21962" w:rsidP="00B2196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cải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tiến</w:t>
      </w:r>
      <w:proofErr w:type="spellEnd"/>
    </w:p>
    <w:p w:rsidR="00B21962" w:rsidRPr="00B21962" w:rsidRDefault="00B21962" w:rsidP="00B219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chí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quản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</w:p>
    <w:p w:rsidR="00B21962" w:rsidRPr="00B21962" w:rsidRDefault="00B21962" w:rsidP="00B21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Hạn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chế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tin.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B21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cải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CNTT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B21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6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62F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A06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62F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A06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t>2026–2027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</w:p>
    <w:p w:rsidR="00B21962" w:rsidRPr="00B21962" w:rsidRDefault="00B21962" w:rsidP="00B219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chí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đội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ngũ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cán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</w:p>
    <w:p w:rsidR="00B21962" w:rsidRPr="00B21962" w:rsidRDefault="00B21962" w:rsidP="00B21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Hạn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chế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B21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cải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lastRenderedPageBreak/>
        <w:t>Khuyến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B21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Hằng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</w:p>
    <w:p w:rsidR="00B21962" w:rsidRPr="00B21962" w:rsidRDefault="00B21962" w:rsidP="00B219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chí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sở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vật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thiết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bị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:rsidR="00B21962" w:rsidRPr="00B21962" w:rsidRDefault="00B21962" w:rsidP="00B21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cải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mưu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B21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62F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A06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62F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A06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71F">
        <w:rPr>
          <w:rFonts w:ascii="Times New Roman" w:eastAsia="Times New Roman" w:hAnsi="Times New Roman" w:cs="Times New Roman"/>
          <w:sz w:val="28"/>
          <w:szCs w:val="28"/>
        </w:rPr>
        <w:t>2026–2027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</w:p>
    <w:p w:rsidR="00B21962" w:rsidRPr="00B21962" w:rsidRDefault="00B21962" w:rsidP="00B219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chí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dục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dục</w:t>
      </w:r>
      <w:proofErr w:type="spellEnd"/>
    </w:p>
    <w:p w:rsidR="00B21962" w:rsidRPr="00B21962" w:rsidRDefault="00B21962" w:rsidP="00B21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Hạn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chế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B21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cải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B21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Hằng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</w:p>
    <w:p w:rsidR="00B21962" w:rsidRPr="00B21962" w:rsidRDefault="00B21962" w:rsidP="00B219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chí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mối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quan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giữa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đình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xã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hội</w:t>
      </w:r>
      <w:proofErr w:type="spellEnd"/>
    </w:p>
    <w:p w:rsidR="00B21962" w:rsidRPr="00B21962" w:rsidRDefault="00B21962" w:rsidP="00B21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Hạn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chế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B21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cải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lạc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B21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Hằng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</w:p>
    <w:p w:rsidR="00B21962" w:rsidRPr="00B21962" w:rsidRDefault="00B21962" w:rsidP="00B2196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Ban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Giám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hiệu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chuyên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môn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đoàn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B2196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B21962" w:rsidP="00FE7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lastRenderedPageBreak/>
        <w:t>Báo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62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B2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1962" w:rsidRPr="00B21962" w:rsidRDefault="00A062FA" w:rsidP="00A062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</w:t>
      </w:r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ế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962" w:rsidRPr="00B21962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</w:rPr>
        <w:t>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CBGVCNV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./.</w:t>
      </w:r>
    </w:p>
    <w:p w:rsidR="00805402" w:rsidRPr="00B21962" w:rsidRDefault="00805402" w:rsidP="00B21962">
      <w:pPr>
        <w:spacing w:after="0" w:line="240" w:lineRule="auto"/>
        <w:rPr>
          <w:sz w:val="28"/>
          <w:szCs w:val="28"/>
        </w:rPr>
      </w:pPr>
    </w:p>
    <w:sectPr w:rsidR="00805402" w:rsidRPr="00B21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CE4"/>
    <w:multiLevelType w:val="multilevel"/>
    <w:tmpl w:val="22DA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75761"/>
    <w:multiLevelType w:val="multilevel"/>
    <w:tmpl w:val="B2F8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31C9B"/>
    <w:multiLevelType w:val="multilevel"/>
    <w:tmpl w:val="3670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A1C17"/>
    <w:multiLevelType w:val="multilevel"/>
    <w:tmpl w:val="CED2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D3888"/>
    <w:multiLevelType w:val="multilevel"/>
    <w:tmpl w:val="DE8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B594B"/>
    <w:multiLevelType w:val="multilevel"/>
    <w:tmpl w:val="9464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C79D0"/>
    <w:multiLevelType w:val="multilevel"/>
    <w:tmpl w:val="0100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E2B5B"/>
    <w:multiLevelType w:val="multilevel"/>
    <w:tmpl w:val="0192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004A8"/>
    <w:multiLevelType w:val="multilevel"/>
    <w:tmpl w:val="9AB6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45490"/>
    <w:multiLevelType w:val="multilevel"/>
    <w:tmpl w:val="B17A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11349"/>
    <w:multiLevelType w:val="multilevel"/>
    <w:tmpl w:val="0D4C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0035F"/>
    <w:multiLevelType w:val="multilevel"/>
    <w:tmpl w:val="FA12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054E7"/>
    <w:multiLevelType w:val="multilevel"/>
    <w:tmpl w:val="D9C6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3D758D"/>
    <w:multiLevelType w:val="multilevel"/>
    <w:tmpl w:val="CDE2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11"/>
  </w:num>
  <w:num w:numId="9">
    <w:abstractNumId w:val="12"/>
  </w:num>
  <w:num w:numId="10">
    <w:abstractNumId w:val="9"/>
  </w:num>
  <w:num w:numId="11">
    <w:abstractNumId w:val="2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62"/>
    <w:rsid w:val="00375015"/>
    <w:rsid w:val="0070571F"/>
    <w:rsid w:val="00805402"/>
    <w:rsid w:val="00A062FA"/>
    <w:rsid w:val="00B21962"/>
    <w:rsid w:val="00B30595"/>
    <w:rsid w:val="00F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C6E85"/>
  <w15:chartTrackingRefBased/>
  <w15:docId w15:val="{74EF8EE6-FCB0-4206-A2D6-30773940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595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2026-05-05T04:11:00Z</dcterms:created>
  <dcterms:modified xsi:type="dcterms:W3CDTF">2026-05-07T02:32:00Z</dcterms:modified>
</cp:coreProperties>
</file>